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7A" w:rsidRPr="00A22F79" w:rsidRDefault="00690B7A" w:rsidP="00690B7A">
      <w:pPr>
        <w:spacing w:after="60"/>
        <w:jc w:val="center"/>
        <w:rPr>
          <w:b/>
        </w:rPr>
      </w:pPr>
      <w:r w:rsidRPr="00A22F79">
        <w:rPr>
          <w:b/>
        </w:rPr>
        <w:t xml:space="preserve">SUPREME COURT INDICATOR ON THE ALLOWANCE OF COMMISSION IN DECEASED ESTATES UNDER </w:t>
      </w:r>
    </w:p>
    <w:p w:rsidR="00B14FC0" w:rsidRPr="00A22F79" w:rsidRDefault="00690B7A" w:rsidP="00690B7A">
      <w:pPr>
        <w:spacing w:after="60"/>
        <w:jc w:val="center"/>
        <w:rPr>
          <w:b/>
          <w:i/>
        </w:rPr>
      </w:pPr>
      <w:r w:rsidRPr="00A22F79">
        <w:rPr>
          <w:b/>
        </w:rPr>
        <w:t xml:space="preserve">SECTION 70 OF </w:t>
      </w:r>
      <w:r w:rsidRPr="00A22F79">
        <w:rPr>
          <w:b/>
          <w:i/>
        </w:rPr>
        <w:t>THE ADMINISTRATION AND PROBATE ACT 1919</w:t>
      </w:r>
      <w:r w:rsidRPr="00A22F79">
        <w:rPr>
          <w:b/>
        </w:rPr>
        <w:t xml:space="preserve"> AND </w:t>
      </w:r>
      <w:r w:rsidR="004033BD" w:rsidRPr="00A22F79">
        <w:rPr>
          <w:b/>
        </w:rPr>
        <w:t xml:space="preserve">SECTION 91 OF </w:t>
      </w:r>
      <w:r w:rsidRPr="00A22F79">
        <w:rPr>
          <w:b/>
          <w:i/>
        </w:rPr>
        <w:t>THE TRUSTEE ACT 1936</w:t>
      </w:r>
    </w:p>
    <w:p w:rsidR="00B14FC0" w:rsidRPr="00A22F79" w:rsidRDefault="00B14FC0" w:rsidP="00B14FC0">
      <w:pPr>
        <w:jc w:val="left"/>
        <w:rPr>
          <w:b/>
        </w:rPr>
      </w:pPr>
    </w:p>
    <w:p w:rsidR="000E7393" w:rsidRPr="00A22F79" w:rsidRDefault="00D434C9" w:rsidP="00690B7A">
      <w:pPr>
        <w:ind w:left="567" w:hanging="567"/>
        <w:rPr>
          <w:u w:val="single"/>
        </w:rPr>
      </w:pPr>
      <w:r w:rsidRPr="00A22F79">
        <w:t>1.</w:t>
      </w:r>
      <w:r w:rsidRPr="00A22F79">
        <w:tab/>
      </w:r>
      <w:r w:rsidR="00690B7A" w:rsidRPr="00A22F79">
        <w:t>This is an Indicator, and not a scale, relating to the remuneration to be allowed to executors, administrators or trustee</w:t>
      </w:r>
      <w:r w:rsidR="0082307E">
        <w:t>s</w:t>
      </w:r>
      <w:r w:rsidR="00690B7A" w:rsidRPr="00A22F79">
        <w:t xml:space="preserve"> in relation to deceased estates, whether under s 70 of the </w:t>
      </w:r>
      <w:r w:rsidR="00690B7A" w:rsidRPr="00A22F79">
        <w:rPr>
          <w:i/>
        </w:rPr>
        <w:t>Administration and Probate Act 1919</w:t>
      </w:r>
      <w:r w:rsidR="00690B7A" w:rsidRPr="00A22F79">
        <w:t xml:space="preserve"> or under s 91 of the </w:t>
      </w:r>
      <w:r w:rsidR="00690B7A" w:rsidRPr="00A22F79">
        <w:rPr>
          <w:i/>
        </w:rPr>
        <w:t>Trustee Act 1936</w:t>
      </w:r>
      <w:r w:rsidR="00690B7A" w:rsidRPr="00A22F79">
        <w:t>.</w:t>
      </w:r>
    </w:p>
    <w:p w:rsidR="00D434C9" w:rsidRPr="00A22F79" w:rsidRDefault="00D434C9" w:rsidP="00B14FC0">
      <w:pPr>
        <w:jc w:val="left"/>
      </w:pPr>
    </w:p>
    <w:p w:rsidR="00A62B02" w:rsidRPr="00A22F79" w:rsidRDefault="00D434C9" w:rsidP="00956372">
      <w:pPr>
        <w:jc w:val="left"/>
      </w:pPr>
      <w:r w:rsidRPr="00A22F79">
        <w:t>2.</w:t>
      </w:r>
      <w:r w:rsidRPr="00A22F79">
        <w:tab/>
      </w:r>
      <w:r w:rsidR="00956372" w:rsidRPr="00A22F79">
        <w:t>The Indicator:</w:t>
      </w:r>
    </w:p>
    <w:p w:rsidR="00956372" w:rsidRPr="00A22F79" w:rsidRDefault="00956372" w:rsidP="00956372">
      <w:pPr>
        <w:jc w:val="left"/>
      </w:pPr>
    </w:p>
    <w:p w:rsidR="00956372" w:rsidRPr="00A22F79" w:rsidRDefault="00956372" w:rsidP="00956372">
      <w:pPr>
        <w:ind w:left="1134" w:hanging="567"/>
      </w:pPr>
      <w:r w:rsidRPr="00A22F79">
        <w:t>(</w:t>
      </w:r>
      <w:proofErr w:type="spellStart"/>
      <w:r w:rsidR="00786252" w:rsidRPr="00A22F79">
        <w:t>i</w:t>
      </w:r>
      <w:proofErr w:type="spellEnd"/>
      <w:r w:rsidRPr="00A22F79">
        <w:t>)</w:t>
      </w:r>
      <w:r w:rsidRPr="00A22F79">
        <w:tab/>
      </w:r>
      <w:proofErr w:type="gramStart"/>
      <w:r w:rsidRPr="00A22F79">
        <w:t>applies</w:t>
      </w:r>
      <w:proofErr w:type="gramEnd"/>
      <w:r w:rsidRPr="00A22F79">
        <w:t xml:space="preserve"> to deceased estates of $1m or less</w:t>
      </w:r>
      <w:r w:rsidRPr="005A511C">
        <w:t xml:space="preserve">, and in which probate or letters of administration is granted on or </w:t>
      </w:r>
      <w:r w:rsidR="005A511C">
        <w:t xml:space="preserve">after 1 July </w:t>
      </w:r>
      <w:r w:rsidRPr="005A511C">
        <w:t>2013;</w:t>
      </w:r>
    </w:p>
    <w:p w:rsidR="00956372" w:rsidRPr="00A22F79" w:rsidRDefault="00400EEA" w:rsidP="00400EEA">
      <w:pPr>
        <w:tabs>
          <w:tab w:val="left" w:pos="6885"/>
        </w:tabs>
        <w:ind w:left="1134" w:hanging="567"/>
      </w:pPr>
      <w:r>
        <w:tab/>
      </w:r>
      <w:r>
        <w:tab/>
      </w:r>
    </w:p>
    <w:p w:rsidR="00956372" w:rsidRPr="00A22F79" w:rsidRDefault="00956372" w:rsidP="00956372">
      <w:pPr>
        <w:ind w:left="1134" w:hanging="567"/>
      </w:pPr>
      <w:r w:rsidRPr="00A22F79">
        <w:t>(</w:t>
      </w:r>
      <w:r w:rsidR="00786252" w:rsidRPr="00A22F79">
        <w:t>ii</w:t>
      </w:r>
      <w:r w:rsidRPr="00A22F79">
        <w:t>)</w:t>
      </w:r>
      <w:r w:rsidRPr="00A22F79">
        <w:tab/>
      </w:r>
      <w:proofErr w:type="gramStart"/>
      <w:r w:rsidRPr="00A22F79">
        <w:t>does</w:t>
      </w:r>
      <w:proofErr w:type="gramEnd"/>
      <w:r w:rsidRPr="00A22F79">
        <w:t xml:space="preserve"> not fetter the discretion of the Court as to the amount of commission or other remuneration to be allowed under s 70 or s 91.</w:t>
      </w:r>
    </w:p>
    <w:p w:rsidR="00956372" w:rsidRPr="00A22F79" w:rsidRDefault="00956372" w:rsidP="00956372">
      <w:pPr>
        <w:ind w:left="1134" w:hanging="567"/>
      </w:pPr>
    </w:p>
    <w:p w:rsidR="00956372" w:rsidRPr="00A22F79" w:rsidRDefault="00956372" w:rsidP="00956372">
      <w:pPr>
        <w:ind w:left="567" w:hanging="567"/>
      </w:pPr>
      <w:r w:rsidRPr="00A22F79">
        <w:t>3.</w:t>
      </w:r>
      <w:r w:rsidRPr="00A22F79">
        <w:tab/>
        <w:t>In estates in which the amount on which the commission is soug</w:t>
      </w:r>
      <w:r w:rsidR="00786252" w:rsidRPr="00A22F79">
        <w:t>ht does not exceed $1m in total</w:t>
      </w:r>
      <w:r w:rsidRPr="00A22F79">
        <w:t xml:space="preserve"> and in which there are no special or unusual circumstances, it is likely that the Court will exercise its discretion under s 70 or s 91 to allow commission on the value of the assets realised or distributed and the income received:</w:t>
      </w:r>
    </w:p>
    <w:p w:rsidR="00956372" w:rsidRPr="00A22F79" w:rsidRDefault="00956372" w:rsidP="00956372">
      <w:pPr>
        <w:ind w:left="567" w:hanging="567"/>
      </w:pPr>
    </w:p>
    <w:p w:rsidR="00956372" w:rsidRPr="00A22F79" w:rsidRDefault="00956372" w:rsidP="00956372">
      <w:pPr>
        <w:ind w:left="1134" w:hanging="567"/>
      </w:pPr>
      <w:r w:rsidRPr="00A22F79">
        <w:t>(</w:t>
      </w:r>
      <w:proofErr w:type="spellStart"/>
      <w:r w:rsidR="00786252" w:rsidRPr="00A22F79">
        <w:t>i</w:t>
      </w:r>
      <w:proofErr w:type="spellEnd"/>
      <w:r w:rsidRPr="00A22F79">
        <w:t>)</w:t>
      </w:r>
      <w:r w:rsidRPr="00A22F79">
        <w:tab/>
      </w:r>
      <w:proofErr w:type="gramStart"/>
      <w:r w:rsidRPr="00A22F79">
        <w:t>of</w:t>
      </w:r>
      <w:proofErr w:type="gramEnd"/>
      <w:r w:rsidRPr="00A22F79">
        <w:t xml:space="preserve"> at least </w:t>
      </w:r>
      <w:r w:rsidR="00E108C1" w:rsidRPr="00A22F79">
        <w:t>one</w:t>
      </w:r>
      <w:r w:rsidRPr="00A22F79">
        <w:t> per cent on the first $500,000; and</w:t>
      </w:r>
    </w:p>
    <w:p w:rsidR="00956372" w:rsidRPr="00A22F79" w:rsidRDefault="00956372" w:rsidP="00956372">
      <w:pPr>
        <w:ind w:left="1134" w:hanging="567"/>
      </w:pPr>
    </w:p>
    <w:p w:rsidR="00956372" w:rsidRPr="00A22F79" w:rsidRDefault="00956372" w:rsidP="00956372">
      <w:pPr>
        <w:ind w:left="1134" w:hanging="567"/>
      </w:pPr>
      <w:r w:rsidRPr="00A22F79">
        <w:t>(</w:t>
      </w:r>
      <w:r w:rsidR="00786252" w:rsidRPr="00A22F79">
        <w:t>ii</w:t>
      </w:r>
      <w:r w:rsidRPr="00A22F79">
        <w:t>)</w:t>
      </w:r>
      <w:r w:rsidRPr="00A22F79">
        <w:tab/>
      </w:r>
      <w:proofErr w:type="gramStart"/>
      <w:r w:rsidRPr="00A22F79">
        <w:t>of</w:t>
      </w:r>
      <w:proofErr w:type="gramEnd"/>
      <w:r w:rsidRPr="00A22F79">
        <w:t xml:space="preserve"> at least half of </w:t>
      </w:r>
      <w:r w:rsidR="00E108C1" w:rsidRPr="00A22F79">
        <w:t>one</w:t>
      </w:r>
      <w:r w:rsidRPr="00A22F79">
        <w:t> per cent on the balance.</w:t>
      </w:r>
    </w:p>
    <w:p w:rsidR="00786252" w:rsidRPr="00A22F79" w:rsidRDefault="00786252" w:rsidP="00956372">
      <w:pPr>
        <w:ind w:left="1134" w:hanging="567"/>
      </w:pPr>
    </w:p>
    <w:p w:rsidR="00786252" w:rsidRPr="00A22F79" w:rsidRDefault="00786252" w:rsidP="00786252">
      <w:pPr>
        <w:ind w:left="567" w:hanging="567"/>
      </w:pPr>
      <w:r w:rsidRPr="00A22F79">
        <w:t>4.</w:t>
      </w:r>
      <w:r w:rsidRPr="00A22F79">
        <w:tab/>
        <w:t>If there are success</w:t>
      </w:r>
      <w:r w:rsidR="00E108C1" w:rsidRPr="00A22F79">
        <w:t>ive</w:t>
      </w:r>
      <w:r w:rsidRPr="00A22F79">
        <w:t xml:space="preserve"> applications for commission, this Indicator will apply to the first $100,000 of the assets realised and income received.</w:t>
      </w:r>
    </w:p>
    <w:p w:rsidR="00786252" w:rsidRPr="00A22F79" w:rsidRDefault="00786252" w:rsidP="00786252">
      <w:pPr>
        <w:ind w:left="567" w:hanging="567"/>
      </w:pPr>
    </w:p>
    <w:p w:rsidR="00786252" w:rsidRPr="00A22F79" w:rsidRDefault="00786252" w:rsidP="00786252">
      <w:pPr>
        <w:ind w:left="567" w:hanging="567"/>
      </w:pPr>
      <w:r w:rsidRPr="00A22F79">
        <w:t>5.</w:t>
      </w:r>
      <w:r w:rsidRPr="00A22F79">
        <w:tab/>
        <w:t>The allowance in paragraph 3 will:</w:t>
      </w:r>
    </w:p>
    <w:p w:rsidR="00786252" w:rsidRPr="00A22F79" w:rsidRDefault="00786252" w:rsidP="00786252">
      <w:pPr>
        <w:ind w:left="567" w:hanging="567"/>
      </w:pPr>
    </w:p>
    <w:p w:rsidR="00786252" w:rsidRPr="00A22F79" w:rsidRDefault="00786252" w:rsidP="00786252">
      <w:pPr>
        <w:ind w:left="1134" w:hanging="567"/>
      </w:pPr>
      <w:r w:rsidRPr="00A22F79">
        <w:t>(</w:t>
      </w:r>
      <w:proofErr w:type="spellStart"/>
      <w:proofErr w:type="gramStart"/>
      <w:r w:rsidRPr="00A22F79">
        <w:t>i</w:t>
      </w:r>
      <w:proofErr w:type="spellEnd"/>
      <w:proofErr w:type="gramEnd"/>
      <w:r w:rsidRPr="00A22F79">
        <w:t>)</w:t>
      </w:r>
      <w:r w:rsidRPr="00A22F79">
        <w:tab/>
        <w:t>apply irrespective of whether paid agents have been employed in the administration of the estate;</w:t>
      </w:r>
    </w:p>
    <w:p w:rsidR="00786252" w:rsidRPr="00A22F79" w:rsidRDefault="00786252" w:rsidP="00786252">
      <w:pPr>
        <w:ind w:left="1134" w:hanging="567"/>
      </w:pPr>
    </w:p>
    <w:p w:rsidR="00786252" w:rsidRPr="00A22F79" w:rsidRDefault="00786252" w:rsidP="00786252">
      <w:pPr>
        <w:ind w:left="1134" w:hanging="567"/>
      </w:pPr>
      <w:r w:rsidRPr="00A22F79">
        <w:t>(ii)</w:t>
      </w:r>
      <w:r w:rsidRPr="00A22F79">
        <w:tab/>
      </w:r>
      <w:proofErr w:type="gramStart"/>
      <w:r w:rsidRPr="00A22F79">
        <w:t>be</w:t>
      </w:r>
      <w:proofErr w:type="gramEnd"/>
      <w:r w:rsidRPr="00A22F79">
        <w:t xml:space="preserve"> payable to joint trustees collectively; and</w:t>
      </w:r>
    </w:p>
    <w:p w:rsidR="00786252" w:rsidRPr="00A22F79" w:rsidRDefault="00786252" w:rsidP="00786252">
      <w:pPr>
        <w:ind w:left="1134" w:hanging="567"/>
      </w:pPr>
    </w:p>
    <w:p w:rsidR="00786252" w:rsidRPr="00A22F79" w:rsidRDefault="00786252" w:rsidP="00786252">
      <w:pPr>
        <w:ind w:left="1134" w:hanging="567"/>
      </w:pPr>
      <w:r w:rsidRPr="00A22F79">
        <w:t>(iii)</w:t>
      </w:r>
      <w:r w:rsidRPr="00A22F79">
        <w:tab/>
      </w:r>
      <w:proofErr w:type="gramStart"/>
      <w:r w:rsidRPr="00A22F79">
        <w:t>be</w:t>
      </w:r>
      <w:proofErr w:type="gramEnd"/>
      <w:r w:rsidRPr="00A22F79">
        <w:t xml:space="preserve"> subject to the Court’s discretion to allow a higher or lower amount of commission having regard to the particular circumstances of the case.</w:t>
      </w:r>
    </w:p>
    <w:p w:rsidR="00786252" w:rsidRPr="00A22F79" w:rsidRDefault="00786252" w:rsidP="00786252">
      <w:pPr>
        <w:ind w:left="1134" w:hanging="567"/>
      </w:pPr>
    </w:p>
    <w:p w:rsidR="00786252" w:rsidRPr="00A22F79" w:rsidRDefault="00786252" w:rsidP="00786252">
      <w:pPr>
        <w:ind w:left="567" w:hanging="567"/>
      </w:pPr>
      <w:r w:rsidRPr="00A22F79">
        <w:t>6.</w:t>
      </w:r>
      <w:r w:rsidRPr="00A22F79">
        <w:tab/>
        <w:t>Paragraph 3 will not apply if:</w:t>
      </w:r>
    </w:p>
    <w:p w:rsidR="00786252" w:rsidRPr="00A22F79" w:rsidRDefault="00786252" w:rsidP="00786252">
      <w:pPr>
        <w:ind w:left="567" w:hanging="567"/>
      </w:pPr>
    </w:p>
    <w:p w:rsidR="00786252" w:rsidRPr="00A22F79" w:rsidRDefault="00786252" w:rsidP="00786252">
      <w:pPr>
        <w:ind w:left="1134" w:hanging="567"/>
      </w:pPr>
      <w:r w:rsidRPr="00A22F79">
        <w:t>(</w:t>
      </w:r>
      <w:proofErr w:type="spellStart"/>
      <w:r w:rsidRPr="00A22F79">
        <w:t>i</w:t>
      </w:r>
      <w:proofErr w:type="spellEnd"/>
      <w:r w:rsidRPr="00A22F79">
        <w:t>)</w:t>
      </w:r>
      <w:r w:rsidRPr="00A22F79">
        <w:tab/>
      </w:r>
      <w:proofErr w:type="gramStart"/>
      <w:r w:rsidRPr="00A22F79">
        <w:t>a</w:t>
      </w:r>
      <w:proofErr w:type="gramEnd"/>
      <w:r w:rsidRPr="00A22F79">
        <w:t xml:space="preserve"> trustee receives remuneration for professional services </w:t>
      </w:r>
      <w:r w:rsidR="00E108C1" w:rsidRPr="00A22F79">
        <w:t>rendered</w:t>
      </w:r>
      <w:r w:rsidRPr="00A22F79">
        <w:t xml:space="preserve"> to the estate;</w:t>
      </w:r>
    </w:p>
    <w:p w:rsidR="00786252" w:rsidRPr="00A22F79" w:rsidRDefault="00786252" w:rsidP="00786252">
      <w:pPr>
        <w:ind w:left="1134" w:hanging="567"/>
      </w:pPr>
    </w:p>
    <w:p w:rsidR="00786252" w:rsidRPr="00A22F79" w:rsidRDefault="00786252" w:rsidP="00786252">
      <w:pPr>
        <w:ind w:left="1134" w:hanging="567"/>
      </w:pPr>
      <w:r w:rsidRPr="00A22F79">
        <w:t>(ii)</w:t>
      </w:r>
      <w:r w:rsidRPr="00A22F79">
        <w:tab/>
      </w:r>
      <w:proofErr w:type="gramStart"/>
      <w:r w:rsidRPr="00A22F79">
        <w:t>a</w:t>
      </w:r>
      <w:proofErr w:type="gramEnd"/>
      <w:r w:rsidRPr="00A22F79">
        <w:t xml:space="preserve"> trustee is a co</w:t>
      </w:r>
      <w:r w:rsidRPr="00A22F79">
        <w:noBreakHyphen/>
      </w:r>
      <w:proofErr w:type="spellStart"/>
      <w:r w:rsidRPr="00A22F79">
        <w:t>trustee</w:t>
      </w:r>
      <w:proofErr w:type="spellEnd"/>
      <w:r w:rsidRPr="00A22F79">
        <w:t xml:space="preserve"> with the Public Trustee or a trust corporation as defined in the Probate Rules; or</w:t>
      </w:r>
    </w:p>
    <w:p w:rsidR="00786252" w:rsidRPr="00A22F79" w:rsidRDefault="00786252" w:rsidP="00786252">
      <w:pPr>
        <w:ind w:left="1134" w:hanging="567"/>
      </w:pPr>
    </w:p>
    <w:p w:rsidR="00786252" w:rsidRPr="00A22F79" w:rsidRDefault="00786252" w:rsidP="00786252">
      <w:pPr>
        <w:ind w:left="1134" w:hanging="567"/>
      </w:pPr>
      <w:r w:rsidRPr="00A22F79">
        <w:t>(iii)</w:t>
      </w:r>
      <w:r w:rsidRPr="00A22F79">
        <w:tab/>
      </w:r>
      <w:proofErr w:type="gramStart"/>
      <w:r w:rsidRPr="00A22F79">
        <w:t>the</w:t>
      </w:r>
      <w:proofErr w:type="gramEnd"/>
      <w:r w:rsidRPr="00A22F79">
        <w:t xml:space="preserve"> will provides for some remuneration or commission to be paid to a trustee.</w:t>
      </w:r>
    </w:p>
    <w:p w:rsidR="00786252" w:rsidRPr="00A22F79" w:rsidRDefault="00786252" w:rsidP="00786252">
      <w:pPr>
        <w:ind w:left="1134" w:hanging="567"/>
      </w:pPr>
    </w:p>
    <w:p w:rsidR="005A511C" w:rsidRDefault="00786252" w:rsidP="00786252">
      <w:pPr>
        <w:ind w:left="567" w:hanging="567"/>
      </w:pPr>
      <w:r w:rsidRPr="00A22F79">
        <w:t>7.</w:t>
      </w:r>
      <w:r w:rsidRPr="00A22F79">
        <w:tab/>
        <w:t>In all other applications for commission under s 70 or s 91, the Court will exercise its discretion having regard to the circumstances of the particular case.</w:t>
      </w:r>
    </w:p>
    <w:p w:rsidR="00786252" w:rsidRPr="005A511C" w:rsidRDefault="00786252" w:rsidP="005A511C">
      <w:pPr>
        <w:tabs>
          <w:tab w:val="left" w:pos="2310"/>
        </w:tabs>
      </w:pPr>
    </w:p>
    <w:sectPr w:rsidR="00786252" w:rsidRPr="005A511C" w:rsidSect="000B5A8C">
      <w:headerReference w:type="even" r:id="rId8"/>
      <w:headerReference w:type="default" r:id="rId9"/>
      <w:type w:val="continuous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28" w:rsidRDefault="00877228">
      <w:r>
        <w:separator/>
      </w:r>
    </w:p>
  </w:endnote>
  <w:endnote w:type="continuationSeparator" w:id="0">
    <w:p w:rsidR="00877228" w:rsidRDefault="0087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28" w:rsidRDefault="00877228">
      <w:r>
        <w:separator/>
      </w:r>
    </w:p>
  </w:footnote>
  <w:footnote w:type="continuationSeparator" w:id="0">
    <w:p w:rsidR="00877228" w:rsidRDefault="00877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851"/>
      <w:gridCol w:w="2851"/>
      <w:gridCol w:w="2851"/>
    </w:tblGrid>
    <w:tr w:rsidR="00786252" w:rsidTr="009841BF">
      <w:tblPrEx>
        <w:tblCellMar>
          <w:top w:w="0" w:type="dxa"/>
          <w:bottom w:w="0" w:type="dxa"/>
        </w:tblCellMar>
      </w:tblPrEx>
      <w:tc>
        <w:tcPr>
          <w:tcW w:w="2851" w:type="dxa"/>
        </w:tcPr>
        <w:p w:rsidR="00786252" w:rsidRDefault="00786252" w:rsidP="009841BF">
          <w:pPr>
            <w:pStyle w:val="Header"/>
            <w:jc w:val="left"/>
            <w:rPr>
              <w:i/>
              <w:sz w:val="18"/>
            </w:rPr>
          </w:pPr>
        </w:p>
      </w:tc>
      <w:tc>
        <w:tcPr>
          <w:tcW w:w="2851" w:type="dxa"/>
        </w:tcPr>
        <w:p w:rsidR="00786252" w:rsidRDefault="00786252" w:rsidP="009841BF">
          <w:pPr>
            <w:pStyle w:val="Header"/>
            <w:jc w:val="center"/>
          </w:pPr>
        </w:p>
      </w:tc>
      <w:tc>
        <w:tcPr>
          <w:tcW w:w="2851" w:type="dxa"/>
        </w:tcPr>
        <w:p w:rsidR="00786252" w:rsidRDefault="00786252" w:rsidP="009841BF">
          <w:pPr>
            <w:pStyle w:val="Header"/>
            <w:jc w:val="right"/>
            <w:rPr>
              <w:i/>
              <w:sz w:val="18"/>
            </w:rPr>
          </w:pPr>
        </w:p>
      </w:tc>
    </w:tr>
    <w:tr w:rsidR="00786252" w:rsidTr="009841BF">
      <w:tblPrEx>
        <w:tblCellMar>
          <w:top w:w="0" w:type="dxa"/>
          <w:bottom w:w="0" w:type="dxa"/>
        </w:tblCellMar>
      </w:tblPrEx>
      <w:tc>
        <w:tcPr>
          <w:tcW w:w="2851" w:type="dxa"/>
        </w:tcPr>
        <w:p w:rsidR="00786252" w:rsidRDefault="00786252" w:rsidP="009841BF">
          <w:pPr>
            <w:pStyle w:val="Header"/>
            <w:jc w:val="left"/>
            <w:rPr>
              <w:i/>
              <w:sz w:val="18"/>
            </w:rPr>
          </w:pPr>
        </w:p>
      </w:tc>
      <w:tc>
        <w:tcPr>
          <w:tcW w:w="2851" w:type="dxa"/>
        </w:tcPr>
        <w:p w:rsidR="00786252" w:rsidRDefault="00786252" w:rsidP="009841BF">
          <w:pPr>
            <w:pStyle w:val="Header"/>
            <w:jc w:val="center"/>
          </w:pPr>
        </w:p>
      </w:tc>
      <w:tc>
        <w:tcPr>
          <w:tcW w:w="2851" w:type="dxa"/>
        </w:tcPr>
        <w:p w:rsidR="00786252" w:rsidRDefault="00786252" w:rsidP="009841BF">
          <w:pPr>
            <w:pStyle w:val="Header"/>
            <w:jc w:val="right"/>
            <w:rPr>
              <w:i/>
              <w:sz w:val="18"/>
            </w:rPr>
          </w:pPr>
        </w:p>
      </w:tc>
    </w:tr>
  </w:tbl>
  <w:p w:rsidR="00786252" w:rsidRDefault="00786252" w:rsidP="000E7393">
    <w:pPr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851"/>
      <w:gridCol w:w="2851"/>
      <w:gridCol w:w="2851"/>
    </w:tblGrid>
    <w:tr w:rsidR="00786252" w:rsidTr="007928BB">
      <w:tblPrEx>
        <w:tblCellMar>
          <w:top w:w="0" w:type="dxa"/>
          <w:bottom w:w="0" w:type="dxa"/>
        </w:tblCellMar>
      </w:tblPrEx>
      <w:tc>
        <w:tcPr>
          <w:tcW w:w="2851" w:type="dxa"/>
        </w:tcPr>
        <w:p w:rsidR="00786252" w:rsidRDefault="00786252" w:rsidP="007928BB">
          <w:pPr>
            <w:pStyle w:val="Header"/>
            <w:jc w:val="left"/>
            <w:rPr>
              <w:i/>
              <w:sz w:val="18"/>
            </w:rPr>
          </w:pPr>
        </w:p>
      </w:tc>
      <w:tc>
        <w:tcPr>
          <w:tcW w:w="2851" w:type="dxa"/>
        </w:tcPr>
        <w:p w:rsidR="00786252" w:rsidRDefault="00786252" w:rsidP="007928BB">
          <w:pPr>
            <w:pStyle w:val="Header"/>
            <w:jc w:val="center"/>
          </w:pPr>
        </w:p>
      </w:tc>
      <w:tc>
        <w:tcPr>
          <w:tcW w:w="2851" w:type="dxa"/>
        </w:tcPr>
        <w:p w:rsidR="00786252" w:rsidRDefault="00786252" w:rsidP="007928BB">
          <w:pPr>
            <w:pStyle w:val="Header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Insert name</w:t>
          </w:r>
        </w:p>
      </w:tc>
    </w:tr>
    <w:tr w:rsidR="00786252" w:rsidTr="007928BB">
      <w:tblPrEx>
        <w:tblCellMar>
          <w:top w:w="0" w:type="dxa"/>
          <w:bottom w:w="0" w:type="dxa"/>
        </w:tblCellMar>
      </w:tblPrEx>
      <w:tc>
        <w:tcPr>
          <w:tcW w:w="2851" w:type="dxa"/>
        </w:tcPr>
        <w:p w:rsidR="00786252" w:rsidRDefault="00786252" w:rsidP="007928BB">
          <w:pPr>
            <w:pStyle w:val="Header"/>
            <w:jc w:val="left"/>
            <w:rPr>
              <w:i/>
              <w:sz w:val="18"/>
            </w:rPr>
          </w:pPr>
        </w:p>
      </w:tc>
      <w:tc>
        <w:tcPr>
          <w:tcW w:w="2851" w:type="dxa"/>
        </w:tcPr>
        <w:p w:rsidR="00786252" w:rsidRDefault="00786252" w:rsidP="007928BB">
          <w:pPr>
            <w:pStyle w:val="Head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2851" w:type="dxa"/>
        </w:tcPr>
        <w:p w:rsidR="00786252" w:rsidRDefault="00786252" w:rsidP="007928BB">
          <w:pPr>
            <w:pStyle w:val="Header"/>
            <w:jc w:val="right"/>
            <w:rPr>
              <w:i/>
              <w:sz w:val="18"/>
            </w:rPr>
          </w:pPr>
        </w:p>
      </w:tc>
    </w:tr>
  </w:tbl>
  <w:p w:rsidR="00786252" w:rsidRDefault="007862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E00F538"/>
    <w:lvl w:ilvl="0">
      <w:start w:val="1"/>
      <w:numFmt w:val="bullet"/>
      <w:pStyle w:val="Bullet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6"/>
      </w:rPr>
    </w:lvl>
  </w:abstractNum>
  <w:abstractNum w:abstractNumId="1">
    <w:nsid w:val="FFFFFFFE"/>
    <w:multiLevelType w:val="singleLevel"/>
    <w:tmpl w:val="D76E0FE6"/>
    <w:lvl w:ilvl="0">
      <w:numFmt w:val="decimal"/>
      <w:lvlText w:val="*"/>
      <w:lvlJc w:val="left"/>
    </w:lvl>
  </w:abstractNum>
  <w:abstractNum w:abstractNumId="2">
    <w:nsid w:val="0051611E"/>
    <w:multiLevelType w:val="hybridMultilevel"/>
    <w:tmpl w:val="EC3AECC2"/>
    <w:lvl w:ilvl="0" w:tplc="2C60CBEE">
      <w:start w:val="1"/>
      <w:numFmt w:val="bullet"/>
      <w:pStyle w:val="Answer"/>
      <w:lvlText w:val="A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911DE"/>
    <w:multiLevelType w:val="hybridMultilevel"/>
    <w:tmpl w:val="5FC0E040"/>
    <w:lvl w:ilvl="0" w:tplc="F8CEB774">
      <w:start w:val="1"/>
      <w:numFmt w:val="upperLetter"/>
      <w:pStyle w:val="FirstAnswer"/>
      <w:lvlText w:val="&quot;%1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43310"/>
    <w:multiLevelType w:val="singleLevel"/>
    <w:tmpl w:val="73889A7C"/>
    <w:name w:val="judge 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53A2466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6">
    <w:nsid w:val="05DF6B17"/>
    <w:multiLevelType w:val="hybridMultilevel"/>
    <w:tmpl w:val="3DE86096"/>
    <w:lvl w:ilvl="0" w:tplc="EE7459F2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04088C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8">
    <w:nsid w:val="0C140D7C"/>
    <w:multiLevelType w:val="hybridMultilevel"/>
    <w:tmpl w:val="5DEED1DC"/>
    <w:lvl w:ilvl="0" w:tplc="0E72701C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B7431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0">
    <w:nsid w:val="17AC521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D993E90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2">
    <w:nsid w:val="21F32AD2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3">
    <w:nsid w:val="24157C44"/>
    <w:multiLevelType w:val="hybridMultilevel"/>
    <w:tmpl w:val="34BC76AC"/>
    <w:lvl w:ilvl="0" w:tplc="FBFEE386">
      <w:start w:val="1"/>
      <w:numFmt w:val="bullet"/>
      <w:pStyle w:val="Bulletdash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7A7241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5">
    <w:nsid w:val="2A646E34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6">
    <w:nsid w:val="2F9F1512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7">
    <w:nsid w:val="38A67B85"/>
    <w:multiLevelType w:val="hybridMultilevel"/>
    <w:tmpl w:val="C278EC28"/>
    <w:lvl w:ilvl="0" w:tplc="41D4C044">
      <w:start w:val="17"/>
      <w:numFmt w:val="upperLetter"/>
      <w:pStyle w:val="FirstQuestion"/>
      <w:lvlText w:val="&quot;%1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52A2C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9">
    <w:nsid w:val="41E11D88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0">
    <w:nsid w:val="44176154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1">
    <w:nsid w:val="4426165D"/>
    <w:multiLevelType w:val="hybridMultilevel"/>
    <w:tmpl w:val="3042AE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C206A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3">
    <w:nsid w:val="5B00550A"/>
    <w:multiLevelType w:val="hybridMultilevel"/>
    <w:tmpl w:val="75D6F2D4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425"/>
      </w:pPr>
      <w:rPr>
        <w:rFonts w:ascii="Times New Roman" w:hAnsi="Times New Roman" w:hint="default"/>
        <w:b w:val="0"/>
        <w:i w:val="0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1B0DE4"/>
    <w:multiLevelType w:val="hybridMultilevel"/>
    <w:tmpl w:val="152ED5F6"/>
    <w:lvl w:ilvl="0" w:tplc="E6E8CF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E81ADB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6">
    <w:nsid w:val="644039A8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7">
    <w:nsid w:val="69407FD1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8">
    <w:nsid w:val="69DD0CA0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9">
    <w:nsid w:val="6A4242D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A7D0C00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1">
    <w:nsid w:val="6AF57C19"/>
    <w:multiLevelType w:val="hybridMultilevel"/>
    <w:tmpl w:val="25E06BD2"/>
    <w:lvl w:ilvl="0" w:tplc="819E2BD4">
      <w:start w:val="1"/>
      <w:numFmt w:val="bullet"/>
      <w:pStyle w:val="Question"/>
      <w:lvlText w:val="Q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A14700"/>
    <w:multiLevelType w:val="singleLevel"/>
    <w:tmpl w:val="45C614C6"/>
    <w:lvl w:ilvl="0">
      <w:start w:val="17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3">
    <w:nsid w:val="6E3661FA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4">
    <w:nsid w:val="6EA91C43"/>
    <w:multiLevelType w:val="hybridMultilevel"/>
    <w:tmpl w:val="E312DA70"/>
    <w:lvl w:ilvl="0">
      <w:start w:val="1"/>
      <w:numFmt w:val="decimal"/>
      <w:lvlRestart w:val="0"/>
      <w:pStyle w:val="NumJudgePara"/>
      <w:lvlText w:val="%1"/>
      <w:lvlJc w:val="left"/>
      <w:pPr>
        <w:tabs>
          <w:tab w:val="num" w:pos="0"/>
        </w:tabs>
        <w:ind w:left="0" w:hanging="425"/>
      </w:pPr>
      <w:rPr>
        <w:rFonts w:ascii="Times New Roman" w:hAnsi="Times New Roman" w:hint="default"/>
        <w:b w:val="0"/>
        <w:i w:val="0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C11E11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6">
    <w:nsid w:val="79C720E6"/>
    <w:multiLevelType w:val="hybridMultilevel"/>
    <w:tmpl w:val="ACCA4734"/>
    <w:lvl w:ilvl="0" w:tplc="07C8004C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425"/>
      </w:pPr>
      <w:rPr>
        <w:rFonts w:ascii="Times New Roman" w:hAnsi="Times New Roman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0B1C08"/>
    <w:multiLevelType w:val="singleLevel"/>
    <w:tmpl w:val="155E02A0"/>
    <w:lvl w:ilvl="0">
      <w:start w:val="1"/>
      <w:numFmt w:val="upperLetter"/>
      <w:lvlText w:val="&quot;%1"/>
      <w:legacy w:legacy="1" w:legacySpace="0" w:legacyIndent="567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8">
    <w:nsid w:val="7E1A7DFB"/>
    <w:multiLevelType w:val="hybridMultilevel"/>
    <w:tmpl w:val="B2B45A14"/>
    <w:lvl w:ilvl="0" w:tplc="B86A717A">
      <w:start w:val="1"/>
      <w:numFmt w:val="decimal"/>
      <w:lvlRestart w:val="0"/>
      <w:pStyle w:val="Number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8"/>
  </w:num>
  <w:num w:numId="3">
    <w:abstractNumId w:val="23"/>
  </w:num>
  <w:num w:numId="4">
    <w:abstractNumId w:val="10"/>
  </w:num>
  <w:num w:numId="5">
    <w:abstractNumId w:val="36"/>
  </w:num>
  <w:num w:numId="6">
    <w:abstractNumId w:val="34"/>
  </w:num>
  <w:num w:numId="7">
    <w:abstractNumId w:val="29"/>
  </w:num>
  <w:num w:numId="8">
    <w:abstractNumId w:val="6"/>
  </w:num>
  <w:num w:numId="9">
    <w:abstractNumId w:val="18"/>
  </w:num>
  <w:num w:numId="10">
    <w:abstractNumId w:val="16"/>
  </w:num>
  <w:num w:numId="11">
    <w:abstractNumId w:val="32"/>
  </w:num>
  <w:num w:numId="12">
    <w:abstractNumId w:val="11"/>
  </w:num>
  <w:num w:numId="13">
    <w:abstractNumId w:val="38"/>
    <w:lvlOverride w:ilvl="0">
      <w:startOverride w:val="1"/>
    </w:lvlOverride>
  </w:num>
  <w:num w:numId="14">
    <w:abstractNumId w:val="38"/>
    <w:lvlOverride w:ilvl="0">
      <w:startOverride w:val="1"/>
    </w:lvlOverride>
  </w:num>
  <w:num w:numId="15">
    <w:abstractNumId w:val="7"/>
  </w:num>
  <w:num w:numId="16">
    <w:abstractNumId w:val="1"/>
    <w:lvlOverride w:ilvl="0">
      <w:lvl w:ilvl="0">
        <w:start w:val="1"/>
        <w:numFmt w:val="bullet"/>
        <w:lvlText w:val="A"/>
        <w:legacy w:legacy="1" w:legacySpace="0" w:legacyIndent="567"/>
        <w:lvlJc w:val="left"/>
        <w:pPr>
          <w:ind w:left="1134" w:hanging="567"/>
        </w:pPr>
        <w:rPr>
          <w:rFonts w:ascii="Times New Roman" w:hAnsi="Times New Roman" w:hint="default"/>
        </w:rPr>
      </w:lvl>
    </w:lvlOverride>
  </w:num>
  <w:num w:numId="17">
    <w:abstractNumId w:val="12"/>
  </w:num>
  <w:num w:numId="18">
    <w:abstractNumId w:val="27"/>
  </w:num>
  <w:num w:numId="19">
    <w:abstractNumId w:val="30"/>
  </w:num>
  <w:num w:numId="20">
    <w:abstractNumId w:val="1"/>
    <w:lvlOverride w:ilvl="0">
      <w:lvl w:ilvl="0">
        <w:start w:val="1"/>
        <w:numFmt w:val="bullet"/>
        <w:lvlText w:val="Q"/>
        <w:legacy w:legacy="1" w:legacySpace="0" w:legacyIndent="567"/>
        <w:lvlJc w:val="left"/>
        <w:pPr>
          <w:ind w:left="1134" w:hanging="567"/>
        </w:pPr>
        <w:rPr>
          <w:rFonts w:ascii="Times New Roman" w:hAnsi="Times New Roman" w:hint="default"/>
        </w:rPr>
      </w:lvl>
    </w:lvlOverride>
  </w:num>
  <w:num w:numId="21">
    <w:abstractNumId w:val="37"/>
  </w:num>
  <w:num w:numId="22">
    <w:abstractNumId w:val="5"/>
  </w:num>
  <w:num w:numId="23">
    <w:abstractNumId w:val="26"/>
  </w:num>
  <w:num w:numId="24">
    <w:abstractNumId w:val="20"/>
  </w:num>
  <w:num w:numId="25">
    <w:abstractNumId w:val="35"/>
  </w:num>
  <w:num w:numId="26">
    <w:abstractNumId w:val="28"/>
  </w:num>
  <w:num w:numId="27">
    <w:abstractNumId w:val="33"/>
  </w:num>
  <w:num w:numId="28">
    <w:abstractNumId w:val="0"/>
  </w:num>
  <w:num w:numId="29">
    <w:abstractNumId w:val="24"/>
  </w:num>
  <w:num w:numId="30">
    <w:abstractNumId w:val="8"/>
  </w:num>
  <w:num w:numId="31">
    <w:abstractNumId w:val="21"/>
  </w:num>
  <w:num w:numId="32">
    <w:abstractNumId w:val="13"/>
  </w:num>
  <w:num w:numId="33">
    <w:abstractNumId w:val="14"/>
  </w:num>
  <w:num w:numId="34">
    <w:abstractNumId w:val="9"/>
  </w:num>
  <w:num w:numId="35">
    <w:abstractNumId w:val="25"/>
  </w:num>
  <w:num w:numId="36">
    <w:abstractNumId w:val="3"/>
  </w:num>
  <w:num w:numId="37">
    <w:abstractNumId w:val="22"/>
  </w:num>
  <w:num w:numId="38">
    <w:abstractNumId w:val="19"/>
  </w:num>
  <w:num w:numId="39">
    <w:abstractNumId w:val="15"/>
  </w:num>
  <w:num w:numId="40">
    <w:abstractNumId w:val="17"/>
  </w:num>
  <w:num w:numId="41">
    <w:abstractNumId w:val="2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1"/>
  <w:defaultTabStop w:val="567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34C9"/>
    <w:rsid w:val="000968B1"/>
    <w:rsid w:val="000B5A8C"/>
    <w:rsid w:val="000C4DBF"/>
    <w:rsid w:val="000E696A"/>
    <w:rsid w:val="000E7393"/>
    <w:rsid w:val="00162F96"/>
    <w:rsid w:val="00206534"/>
    <w:rsid w:val="00235182"/>
    <w:rsid w:val="002516FD"/>
    <w:rsid w:val="0028730C"/>
    <w:rsid w:val="002C6A42"/>
    <w:rsid w:val="003334C6"/>
    <w:rsid w:val="00400EEA"/>
    <w:rsid w:val="004022CB"/>
    <w:rsid w:val="004033BD"/>
    <w:rsid w:val="00413BF7"/>
    <w:rsid w:val="00470B89"/>
    <w:rsid w:val="004905A8"/>
    <w:rsid w:val="00495798"/>
    <w:rsid w:val="004F7279"/>
    <w:rsid w:val="0054776B"/>
    <w:rsid w:val="00554116"/>
    <w:rsid w:val="005A511C"/>
    <w:rsid w:val="005B5B3B"/>
    <w:rsid w:val="005C5CAD"/>
    <w:rsid w:val="00690B7A"/>
    <w:rsid w:val="006E73C9"/>
    <w:rsid w:val="007068A8"/>
    <w:rsid w:val="00712104"/>
    <w:rsid w:val="00741E4B"/>
    <w:rsid w:val="00786252"/>
    <w:rsid w:val="007928BB"/>
    <w:rsid w:val="0082268E"/>
    <w:rsid w:val="0082307E"/>
    <w:rsid w:val="00877228"/>
    <w:rsid w:val="00887833"/>
    <w:rsid w:val="008D6FD9"/>
    <w:rsid w:val="009051A2"/>
    <w:rsid w:val="00956372"/>
    <w:rsid w:val="009841BF"/>
    <w:rsid w:val="00A22F79"/>
    <w:rsid w:val="00A25842"/>
    <w:rsid w:val="00A62B02"/>
    <w:rsid w:val="00A90F63"/>
    <w:rsid w:val="00A969E4"/>
    <w:rsid w:val="00B14FC0"/>
    <w:rsid w:val="00B161CF"/>
    <w:rsid w:val="00B4019C"/>
    <w:rsid w:val="00B644D3"/>
    <w:rsid w:val="00BC627B"/>
    <w:rsid w:val="00BE3E09"/>
    <w:rsid w:val="00C055FB"/>
    <w:rsid w:val="00C36915"/>
    <w:rsid w:val="00C8126F"/>
    <w:rsid w:val="00CE6650"/>
    <w:rsid w:val="00D220FF"/>
    <w:rsid w:val="00D434C9"/>
    <w:rsid w:val="00D75B87"/>
    <w:rsid w:val="00D76C0C"/>
    <w:rsid w:val="00E108C1"/>
    <w:rsid w:val="00E56FDE"/>
    <w:rsid w:val="00E95946"/>
    <w:rsid w:val="00EA0343"/>
    <w:rsid w:val="00EB0B7D"/>
    <w:rsid w:val="00EC58E6"/>
    <w:rsid w:val="00ED3D57"/>
    <w:rsid w:val="00EE350E"/>
    <w:rsid w:val="00F52B23"/>
    <w:rsid w:val="00F542D5"/>
    <w:rsid w:val="00F54BFD"/>
    <w:rsid w:val="00FC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  <w:szCs w:val="24"/>
      <w:lang w:eastAsia="en-US"/>
    </w:rPr>
  </w:style>
  <w:style w:type="paragraph" w:styleId="Heading1">
    <w:name w:val="heading 1"/>
    <w:basedOn w:val="Normal"/>
    <w:next w:val="JudgmentTab"/>
    <w:qFormat/>
    <w:pPr>
      <w:keepNext/>
      <w:spacing w:after="12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JudgmentTab"/>
    <w:qFormat/>
    <w:pPr>
      <w:keepNext/>
      <w:spacing w:after="12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JudgmentTab"/>
    <w:qFormat/>
    <w:pPr>
      <w:keepNext/>
      <w:spacing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urtTitle">
    <w:name w:val="Court Title"/>
    <w:basedOn w:val="Normal"/>
    <w:pPr>
      <w:jc w:val="center"/>
    </w:pPr>
    <w:rPr>
      <w:b/>
      <w:caps/>
      <w:sz w:val="40"/>
    </w:rPr>
  </w:style>
  <w:style w:type="paragraph" w:customStyle="1" w:styleId="Jurisdiction">
    <w:name w:val="Jurisdiction"/>
    <w:basedOn w:val="Normal"/>
    <w:pPr>
      <w:jc w:val="center"/>
    </w:pPr>
    <w:rPr>
      <w:sz w:val="20"/>
    </w:rPr>
  </w:style>
  <w:style w:type="paragraph" w:styleId="BodyText">
    <w:name w:val="Body Text"/>
    <w:basedOn w:val="Normal"/>
  </w:style>
  <w:style w:type="paragraph" w:customStyle="1" w:styleId="JudgmentName">
    <w:name w:val="Judgment Name"/>
    <w:basedOn w:val="BodyText"/>
    <w:pPr>
      <w:jc w:val="center"/>
    </w:pPr>
    <w:rPr>
      <w:b/>
      <w:sz w:val="32"/>
    </w:rPr>
  </w:style>
  <w:style w:type="paragraph" w:customStyle="1" w:styleId="JudgmentAuthor">
    <w:name w:val="Judgment Author"/>
    <w:basedOn w:val="BodyText"/>
    <w:pPr>
      <w:jc w:val="center"/>
    </w:pPr>
    <w:rPr>
      <w:b/>
      <w:sz w:val="22"/>
    </w:rPr>
  </w:style>
  <w:style w:type="paragraph" w:customStyle="1" w:styleId="DateDelivered">
    <w:name w:val="Date Delivered"/>
    <w:basedOn w:val="BodyText"/>
    <w:pPr>
      <w:jc w:val="center"/>
    </w:pPr>
    <w:rPr>
      <w:b/>
      <w:sz w:val="22"/>
    </w:rPr>
  </w:style>
  <w:style w:type="paragraph" w:customStyle="1" w:styleId="JudgesCoram">
    <w:name w:val="Judges Coram"/>
    <w:basedOn w:val="JudgmentAuthor"/>
    <w:rPr>
      <w:b w:val="0"/>
    </w:rPr>
  </w:style>
  <w:style w:type="paragraph" w:customStyle="1" w:styleId="DigestHeading">
    <w:name w:val="Digest Heading"/>
    <w:basedOn w:val="BodyText"/>
    <w:pPr>
      <w:spacing w:before="120" w:after="120"/>
      <w:ind w:right="567"/>
    </w:pPr>
    <w:rPr>
      <w:b/>
      <w:caps/>
      <w:sz w:val="24"/>
    </w:rPr>
  </w:style>
  <w:style w:type="paragraph" w:customStyle="1" w:styleId="Catchwords">
    <w:name w:val="Catchwords"/>
    <w:basedOn w:val="BodyText"/>
    <w:pPr>
      <w:spacing w:after="240"/>
      <w:ind w:left="567" w:right="567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FrontSheetFooter">
    <w:name w:val="Front Sheet Footer"/>
    <w:basedOn w:val="Footer"/>
    <w:pPr>
      <w:pBdr>
        <w:top w:val="single" w:sz="4" w:space="1" w:color="auto"/>
      </w:pBdr>
      <w:tabs>
        <w:tab w:val="clear" w:pos="4153"/>
        <w:tab w:val="clear" w:pos="8306"/>
      </w:tabs>
      <w:spacing w:after="60"/>
    </w:pPr>
    <w:rPr>
      <w:b/>
      <w:sz w:val="20"/>
    </w:rPr>
  </w:style>
  <w:style w:type="paragraph" w:customStyle="1" w:styleId="NumJudgePara">
    <w:name w:val="Num Judge Para"/>
    <w:basedOn w:val="BodyText"/>
    <w:pPr>
      <w:numPr>
        <w:numId w:val="6"/>
      </w:numPr>
      <w:tabs>
        <w:tab w:val="left" w:pos="567"/>
        <w:tab w:val="left" w:pos="1134"/>
        <w:tab w:val="left" w:pos="1985"/>
        <w:tab w:val="left" w:pos="2835"/>
        <w:tab w:val="left" w:pos="3686"/>
      </w:tabs>
      <w:spacing w:after="240"/>
    </w:pPr>
  </w:style>
  <w:style w:type="paragraph" w:customStyle="1" w:styleId="FrontSheetHeader">
    <w:name w:val="Front Sheet Header"/>
    <w:basedOn w:val="Header"/>
    <w:pPr>
      <w:tabs>
        <w:tab w:val="clear" w:pos="4153"/>
        <w:tab w:val="clear" w:pos="8306"/>
        <w:tab w:val="center" w:pos="4536"/>
        <w:tab w:val="right" w:pos="9072"/>
      </w:tabs>
    </w:pPr>
    <w:rPr>
      <w:sz w:val="20"/>
    </w:rPr>
  </w:style>
  <w:style w:type="paragraph" w:customStyle="1" w:styleId="FrontSheetFooterRight">
    <w:name w:val="Front Sheet Footer Right"/>
    <w:basedOn w:val="FrontSheetFooter"/>
    <w:pPr>
      <w:jc w:val="right"/>
    </w:pPr>
  </w:style>
  <w:style w:type="paragraph" w:customStyle="1" w:styleId="Citations">
    <w:name w:val="Citations"/>
    <w:basedOn w:val="BodyText"/>
    <w:pPr>
      <w:ind w:left="567" w:right="567"/>
    </w:pPr>
    <w:rPr>
      <w:sz w:val="20"/>
    </w:rPr>
  </w:style>
  <w:style w:type="paragraph" w:customStyle="1" w:styleId="JudgePara">
    <w:name w:val="Judge Para"/>
    <w:basedOn w:val="BodyText"/>
    <w:next w:val="JudgmentTab"/>
    <w:pPr>
      <w:spacing w:after="240" w:line="480" w:lineRule="auto"/>
    </w:pPr>
  </w:style>
  <w:style w:type="paragraph" w:customStyle="1" w:styleId="JudgmentTab">
    <w:name w:val="Judgment Tab"/>
    <w:basedOn w:val="JudgePara"/>
    <w:pPr>
      <w:ind w:firstLine="567"/>
    </w:pPr>
  </w:style>
  <w:style w:type="paragraph" w:customStyle="1" w:styleId="NormalPara">
    <w:name w:val="Normal Para"/>
    <w:basedOn w:val="Normal"/>
    <w:pPr>
      <w:spacing w:after="240" w:line="480" w:lineRule="auto"/>
    </w:pPr>
  </w:style>
  <w:style w:type="paragraph" w:customStyle="1" w:styleId="NumberList">
    <w:name w:val="NumberList"/>
    <w:basedOn w:val="BodyText"/>
    <w:pPr>
      <w:numPr>
        <w:numId w:val="2"/>
      </w:numPr>
      <w:spacing w:after="240"/>
    </w:pPr>
  </w:style>
  <w:style w:type="paragraph" w:customStyle="1" w:styleId="Bullets">
    <w:name w:val="Bullets"/>
    <w:basedOn w:val="NumberList"/>
    <w:pPr>
      <w:numPr>
        <w:numId w:val="30"/>
      </w:numPr>
    </w:pPr>
  </w:style>
  <w:style w:type="paragraph" w:styleId="Quote">
    <w:name w:val="Quote"/>
    <w:basedOn w:val="BodyText"/>
    <w:qFormat/>
    <w:pPr>
      <w:spacing w:after="240"/>
      <w:ind w:left="567"/>
    </w:pPr>
    <w:rPr>
      <w:sz w:val="22"/>
    </w:rPr>
  </w:style>
  <w:style w:type="paragraph" w:customStyle="1" w:styleId="HangIndQ">
    <w:name w:val="Hang Ind Q"/>
    <w:basedOn w:val="Quote"/>
    <w:pPr>
      <w:ind w:left="1134" w:hanging="567"/>
    </w:pPr>
  </w:style>
  <w:style w:type="paragraph" w:customStyle="1" w:styleId="NumJudgmentTab">
    <w:name w:val="Num Judgment Tab"/>
    <w:basedOn w:val="NumJudgePara"/>
    <w:pPr>
      <w:tabs>
        <w:tab w:val="clear" w:pos="0"/>
        <w:tab w:val="clear" w:pos="1134"/>
        <w:tab w:val="clear" w:pos="1985"/>
        <w:tab w:val="clear" w:pos="2835"/>
        <w:tab w:val="clear" w:pos="3686"/>
      </w:tabs>
    </w:pPr>
  </w:style>
  <w:style w:type="paragraph" w:customStyle="1" w:styleId="QA">
    <w:name w:val="QA"/>
    <w:basedOn w:val="Normal"/>
    <w:pPr>
      <w:overflowPunct w:val="0"/>
      <w:autoSpaceDE w:val="0"/>
      <w:autoSpaceDN w:val="0"/>
      <w:adjustRightInd w:val="0"/>
      <w:spacing w:after="240" w:line="480" w:lineRule="auto"/>
      <w:ind w:left="1134" w:hanging="567"/>
      <w:textAlignment w:val="baseline"/>
    </w:pPr>
    <w:rPr>
      <w:sz w:val="22"/>
      <w:szCs w:val="20"/>
    </w:rPr>
  </w:style>
  <w:style w:type="paragraph" w:customStyle="1" w:styleId="JudgmentHeader">
    <w:name w:val="JudgmentHeader"/>
    <w:basedOn w:val="Normal"/>
    <w:pPr>
      <w:jc w:val="center"/>
    </w:pPr>
    <w:rPr>
      <w:b/>
    </w:rPr>
  </w:style>
  <w:style w:type="paragraph" w:customStyle="1" w:styleId="OtherTitle">
    <w:name w:val="Other Title"/>
    <w:basedOn w:val="BodyText"/>
    <w:pPr>
      <w:spacing w:before="360"/>
      <w:jc w:val="center"/>
    </w:pPr>
    <w:rPr>
      <w:b/>
      <w:sz w:val="24"/>
    </w:rPr>
  </w:style>
  <w:style w:type="paragraph" w:customStyle="1" w:styleId="Disclaimer">
    <w:name w:val="Disclaimer"/>
    <w:basedOn w:val="BodyText"/>
    <w:rPr>
      <w:sz w:val="16"/>
    </w:rPr>
  </w:style>
  <w:style w:type="paragraph" w:customStyle="1" w:styleId="FirstAnswer">
    <w:name w:val="FirstAnswer"/>
    <w:basedOn w:val="Normal"/>
    <w:next w:val="Question"/>
    <w:pPr>
      <w:numPr>
        <w:numId w:val="36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customStyle="1" w:styleId="FirstQuestion">
    <w:name w:val="FirstQuestion"/>
    <w:basedOn w:val="Normal"/>
    <w:next w:val="Answer"/>
    <w:pPr>
      <w:numPr>
        <w:numId w:val="40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customStyle="1" w:styleId="Answer">
    <w:name w:val="Answer"/>
    <w:basedOn w:val="Normal"/>
    <w:next w:val="Question"/>
    <w:pPr>
      <w:numPr>
        <w:numId w:val="4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customStyle="1" w:styleId="Question">
    <w:name w:val="Question"/>
    <w:basedOn w:val="Normal"/>
    <w:next w:val="Answer"/>
    <w:pPr>
      <w:numPr>
        <w:numId w:val="4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styleId="FootnoteText">
    <w:name w:val="footnote text"/>
    <w:basedOn w:val="Normal"/>
    <w:semiHidden/>
    <w:pPr>
      <w:tabs>
        <w:tab w:val="left" w:pos="261"/>
      </w:tabs>
      <w:ind w:left="261" w:hanging="261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20"/>
      <w:vertAlign w:val="superscript"/>
    </w:rPr>
  </w:style>
  <w:style w:type="paragraph" w:customStyle="1" w:styleId="JudgmentNumber">
    <w:name w:val="JudgmentNumber"/>
    <w:basedOn w:val="BodyText"/>
    <w:pPr>
      <w:jc w:val="center"/>
    </w:pPr>
    <w:rPr>
      <w:b/>
      <w:sz w:val="24"/>
    </w:rPr>
  </w:style>
  <w:style w:type="paragraph" w:customStyle="1" w:styleId="Bulletdot">
    <w:name w:val="Bullet dot"/>
    <w:basedOn w:val="Bulletdash"/>
    <w:pPr>
      <w:numPr>
        <w:numId w:val="28"/>
      </w:numPr>
    </w:pPr>
  </w:style>
  <w:style w:type="paragraph" w:customStyle="1" w:styleId="Bulletdash">
    <w:name w:val="Bullet dash"/>
    <w:basedOn w:val="Normal"/>
    <w:pPr>
      <w:numPr>
        <w:numId w:val="32"/>
      </w:numPr>
      <w:spacing w:after="240"/>
    </w:pPr>
  </w:style>
  <w:style w:type="paragraph" w:customStyle="1" w:styleId="HangIndJ">
    <w:name w:val="Hang Ind J"/>
    <w:basedOn w:val="Normal"/>
    <w:pPr>
      <w:spacing w:after="240" w:line="480" w:lineRule="auto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SC%20Judges'%20Secretaries\sc%20judgment%20draf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D3097F498E44BA79CDB1C70397289" ma:contentTypeVersion="10" ma:contentTypeDescription="Create a new document." ma:contentTypeScope="" ma:versionID="faf24a4b85f7ee0a5930e904e3385c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50ac0692c8043a57a4388a84dc607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5C8EE-606C-4F54-A45F-05273418E73C}"/>
</file>

<file path=customXml/itemProps2.xml><?xml version="1.0" encoding="utf-8"?>
<ds:datastoreItem xmlns:ds="http://schemas.openxmlformats.org/officeDocument/2006/customXml" ds:itemID="{5BB7E01A-CD9B-4B9B-8762-24109017165E}"/>
</file>

<file path=customXml/itemProps3.xml><?xml version="1.0" encoding="utf-8"?>
<ds:datastoreItem xmlns:ds="http://schemas.openxmlformats.org/officeDocument/2006/customXml" ds:itemID="{2DD5EAFC-C874-4621-8AD9-7EBAC3050C20}"/>
</file>

<file path=customXml/itemProps4.xml><?xml version="1.0" encoding="utf-8"?>
<ds:datastoreItem xmlns:ds="http://schemas.openxmlformats.org/officeDocument/2006/customXml" ds:itemID="{AC53A216-C98C-4E9D-9A28-30E23F9D6865}"/>
</file>

<file path=docProps/app.xml><?xml version="1.0" encoding="utf-8"?>
<Properties xmlns="http://schemas.openxmlformats.org/officeDocument/2006/extended-properties" xmlns:vt="http://schemas.openxmlformats.org/officeDocument/2006/docPropsVTypes">
  <Template>sc judgment drafts.dot</Template>
  <TotalTime>4</TotalTime>
  <Pages>2</Pages>
  <Words>321</Words>
  <Characters>1832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DRAFT AMENDMENT TO</vt:lpstr>
    </vt:vector>
  </TitlesOfParts>
  <Company>CAA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Indicator Allowance s70 Administration and Probate Act 1919 s91 Truste Act 1936</dc:title>
  <dc:creator>Courts Administration Authority</dc:creator>
  <cp:lastModifiedBy>kcsdiq</cp:lastModifiedBy>
  <cp:revision>2</cp:revision>
  <cp:lastPrinted>2012-02-09T04:54:00Z</cp:lastPrinted>
  <dcterms:created xsi:type="dcterms:W3CDTF">2013-10-28T00:22:00Z</dcterms:created>
  <dcterms:modified xsi:type="dcterms:W3CDTF">2013-10-28T00:22:00Z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0x010100288D3097F498E44BA79CDB1C70397289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2100</vt:r8>
  </property>
</Properties>
</file>